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4A7C" w14:textId="77777777" w:rsidR="005F32F1" w:rsidRDefault="00DE77B8">
      <w:pPr>
        <w:keepLines/>
        <w:tabs>
          <w:tab w:val="right" w:pos="14967"/>
        </w:tabs>
      </w:pPr>
      <w:r>
        <w:rPr>
          <w:noProof/>
        </w:rPr>
        <w:drawing>
          <wp:inline distT="0" distB="0" distL="0" distR="0" wp14:anchorId="3A1D7023" wp14:editId="1663C1BD">
            <wp:extent cx="1944000" cy="38446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44000" cy="38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b/>
          <w:color w:val="08A4AA"/>
          <w:sz w:val="18"/>
        </w:rPr>
        <w:t>VICTORIA 2026 STATE ELECTION</w:t>
      </w:r>
    </w:p>
    <w:p w14:paraId="002B40B5" w14:textId="77777777" w:rsidR="005F32F1" w:rsidRDefault="005F32F1">
      <w:pPr>
        <w:spacing w:after="0" w:line="40" w:lineRule="exact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308"/>
      </w:tblGrid>
      <w:tr w:rsidR="005F32F1" w14:paraId="34EC8A9B" w14:textId="77777777">
        <w:trPr>
          <w:jc w:val="center"/>
        </w:trPr>
        <w:tc>
          <w:tcPr>
            <w:tcW w:w="15308" w:type="dxa"/>
            <w:shd w:val="clear" w:color="auto" w:fill="0B2354"/>
            <w:tcMar>
              <w:top w:w="300" w:type="dxa"/>
              <w:left w:w="320" w:type="dxa"/>
              <w:bottom w:w="300" w:type="dxa"/>
              <w:right w:w="320" w:type="dxa"/>
            </w:tcMar>
            <w:vAlign w:val="center"/>
          </w:tcPr>
          <w:p w14:paraId="165E0213" w14:textId="77777777" w:rsidR="00F12341" w:rsidRDefault="00C87382">
            <w:pPr>
              <w:spacing w:after="0" w:line="240" w:lineRule="auto"/>
            </w:pPr>
            <w:r>
              <w:rPr>
                <w:b/>
                <w:color w:val="FFFFFF"/>
                <w:sz w:val="48"/>
              </w:rPr>
              <w:t>ALC Victorian election scorecard</w:t>
            </w:r>
          </w:p>
          <w:p w14:paraId="2F824DB9" w14:textId="77777777" w:rsidR="00F12341" w:rsidRDefault="00C87382">
            <w:pPr>
              <w:spacing w:before="100" w:after="0" w:line="240" w:lineRule="auto"/>
            </w:pPr>
            <w:r>
              <w:rPr>
                <w:b/>
                <w:color w:val="00A6A6"/>
              </w:rPr>
              <w:t>Updated evidence cut-off | 12 October 2026</w:t>
            </w:r>
          </w:p>
        </w:tc>
      </w:tr>
    </w:tbl>
    <w:p w14:paraId="718E2489" w14:textId="77777777" w:rsidR="005F32F1" w:rsidRDefault="005F32F1">
      <w:pPr>
        <w:spacing w:after="0" w:line="40" w:lineRule="exact"/>
      </w:pPr>
    </w:p>
    <w:p w14:paraId="751C9FDD" w14:textId="77777777" w:rsidR="00DE77B8" w:rsidRDefault="00DE77B8">
      <w:pPr>
        <w:keepLines/>
        <w:spacing w:after="100"/>
        <w:rPr>
          <w:b/>
          <w:color w:val="0B2354"/>
          <w:sz w:val="21"/>
        </w:rPr>
      </w:pPr>
    </w:p>
    <w:p w14:paraId="662DEA7A" w14:textId="77777777" w:rsidR="00DE77B8" w:rsidRPr="00DE77B8" w:rsidRDefault="00DE77B8">
      <w:pPr>
        <w:keepLines/>
        <w:spacing w:line="247" w:lineRule="auto"/>
        <w:rPr>
          <w:szCs w:val="24"/>
        </w:rPr>
      </w:pPr>
      <w:r>
        <w:rPr>
          <w:b/>
          <w:color w:val="0B2B5B"/>
        </w:rPr>
        <w:t xml:space="preserve">How to read this scorecard. </w:t>
      </w:r>
      <w:r>
        <w:rPr>
          <w:color w:val="0B2B5B"/>
        </w:rPr>
        <w:t>The ALC Victorian election scorecard compares each party's published commitments with ALC's six priorities. Each priority is scored out of four for alignment, specificity, funding and delivery. A zero can mean either no public position or a published position that does not align with the ALC ask. The scorecard states which applies.</w:t>
      </w:r>
    </w:p>
    <w:p w14:paraId="0A893AA4" w14:textId="77777777" w:rsidR="005F32F1" w:rsidRPr="005E2F6D" w:rsidRDefault="00DE77B8">
      <w:pPr>
        <w:keepLines/>
        <w:spacing w:after="100" w:line="240" w:lineRule="auto"/>
        <w:rPr>
          <w:b/>
          <w:bCs/>
          <w:szCs w:val="24"/>
        </w:rPr>
      </w:pPr>
      <w:r w:rsidRPr="005E2F6D">
        <w:rPr>
          <w:b/>
          <w:bCs/>
          <w:color w:val="0B2B5B"/>
          <w:szCs w:val="24"/>
        </w:rPr>
        <w:t>Scores change when commitments are announced, clarified, funded or withdrawn.</w:t>
      </w:r>
    </w:p>
    <w:p w14:paraId="4D9B63C5" w14:textId="77777777" w:rsidR="00DE77B8" w:rsidRDefault="00DE77B8">
      <w:pPr>
        <w:keepLines/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1"/>
        <w:gridCol w:w="4961"/>
        <w:gridCol w:w="4961"/>
      </w:tblGrid>
      <w:tr w:rsidR="005F32F1" w:rsidRPr="00C87382" w14:paraId="2994F2E5" w14:textId="77777777">
        <w:trPr>
          <w:jc w:val="center"/>
        </w:trPr>
        <w:tc>
          <w:tcPr>
            <w:tcW w:w="4961" w:type="dxa"/>
            <w:shd w:val="clear" w:color="auto" w:fill="F2F4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4F4D43" w14:textId="77777777" w:rsidR="00F12341" w:rsidRPr="00C87382" w:rsidRDefault="00C87382">
            <w:pPr>
              <w:spacing w:after="0" w:line="250" w:lineRule="auto"/>
              <w:rPr>
                <w:szCs w:val="24"/>
              </w:rPr>
            </w:pPr>
            <w:r w:rsidRPr="00C87382">
              <w:rPr>
                <w:b/>
                <w:color w:val="00A6A6"/>
                <w:szCs w:val="24"/>
              </w:rPr>
              <w:t>WHAT IT SHOWS</w:t>
            </w:r>
            <w:r w:rsidRPr="00C87382">
              <w:rPr>
                <w:b/>
                <w:color w:val="00A6A6"/>
                <w:szCs w:val="24"/>
              </w:rPr>
              <w:br/>
            </w:r>
            <w:r w:rsidRPr="00C87382">
              <w:rPr>
                <w:color w:val="0B2B5B"/>
                <w:szCs w:val="24"/>
              </w:rPr>
              <w:t>A score out of 4 for each party against each of ALC's six priorities.</w:t>
            </w:r>
          </w:p>
        </w:tc>
        <w:tc>
          <w:tcPr>
            <w:tcW w:w="4961" w:type="dxa"/>
            <w:shd w:val="clear" w:color="auto" w:fill="F2F4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53F53B" w14:textId="77777777" w:rsidR="00F12341" w:rsidRPr="00C87382" w:rsidRDefault="00C87382">
            <w:pPr>
              <w:spacing w:after="0" w:line="250" w:lineRule="auto"/>
              <w:rPr>
                <w:szCs w:val="24"/>
              </w:rPr>
            </w:pPr>
            <w:r w:rsidRPr="00C87382">
              <w:rPr>
                <w:b/>
                <w:color w:val="00A6A6"/>
                <w:szCs w:val="24"/>
              </w:rPr>
              <w:t>HOW POINTS ARE EARNED</w:t>
            </w:r>
            <w:r w:rsidRPr="00C87382">
              <w:rPr>
                <w:b/>
                <w:color w:val="00A6A6"/>
                <w:szCs w:val="24"/>
              </w:rPr>
              <w:br/>
            </w:r>
            <w:r w:rsidRPr="00C87382">
              <w:rPr>
                <w:color w:val="0B2B5B"/>
                <w:szCs w:val="24"/>
              </w:rPr>
              <w:t>Alignment 40%, specificity 20%, funding 20%, delivery and measurement 20%.</w:t>
            </w:r>
          </w:p>
        </w:tc>
        <w:tc>
          <w:tcPr>
            <w:tcW w:w="4961" w:type="dxa"/>
            <w:shd w:val="clear" w:color="auto" w:fill="F2F4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F3B5DF" w14:textId="77777777" w:rsidR="00F12341" w:rsidRPr="00C87382" w:rsidRDefault="00C87382">
            <w:pPr>
              <w:spacing w:after="0" w:line="250" w:lineRule="auto"/>
              <w:rPr>
                <w:szCs w:val="24"/>
              </w:rPr>
            </w:pPr>
            <w:r w:rsidRPr="00C87382">
              <w:rPr>
                <w:b/>
                <w:color w:val="00A6A6"/>
                <w:szCs w:val="24"/>
              </w:rPr>
              <w:t>WHAT ZERO MEANS</w:t>
            </w:r>
            <w:r w:rsidRPr="00C87382">
              <w:rPr>
                <w:b/>
                <w:color w:val="00A6A6"/>
                <w:szCs w:val="24"/>
              </w:rPr>
              <w:br/>
            </w:r>
            <w:r w:rsidRPr="00C87382">
              <w:rPr>
                <w:color w:val="0B2B5B"/>
                <w:szCs w:val="24"/>
              </w:rPr>
              <w:t>A zero is not automatically opposition. It may mean no public position or a position that does not meet the ALC ask.</w:t>
            </w:r>
          </w:p>
        </w:tc>
      </w:tr>
    </w:tbl>
    <w:p w14:paraId="52370E96" w14:textId="77777777" w:rsidR="005F32F1" w:rsidRPr="00C87382" w:rsidRDefault="005F32F1">
      <w:pPr>
        <w:spacing w:after="0" w:line="40" w:lineRule="exact"/>
        <w:rPr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308"/>
      </w:tblGrid>
      <w:tr w:rsidR="005F32F1" w:rsidRPr="00C87382" w14:paraId="5AEB658F" w14:textId="77777777">
        <w:trPr>
          <w:jc w:val="center"/>
        </w:trPr>
        <w:tc>
          <w:tcPr>
            <w:tcW w:w="15308" w:type="dxa"/>
            <w:shd w:val="clear" w:color="auto" w:fill="0B235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3770B4" w14:textId="77777777" w:rsidR="005F32F1" w:rsidRPr="00C87382" w:rsidRDefault="00DE77B8">
            <w:pPr>
              <w:spacing w:after="0"/>
              <w:rPr>
                <w:szCs w:val="24"/>
              </w:rPr>
            </w:pPr>
            <w:r w:rsidRPr="00C87382">
              <w:rPr>
                <w:b/>
                <w:color w:val="FFFFFF"/>
                <w:szCs w:val="24"/>
              </w:rPr>
              <w:t>What changed in this update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55"/>
        <w:gridCol w:w="7455"/>
      </w:tblGrid>
      <w:tr w:rsidR="005F32F1" w:rsidRPr="00C87382" w14:paraId="6EE1D374" w14:textId="77777777">
        <w:trPr>
          <w:cantSplit/>
          <w:jc w:val="center"/>
        </w:trPr>
        <w:tc>
          <w:tcPr>
            <w:tcW w:w="745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A3F352" w14:textId="77777777" w:rsidR="00F12341" w:rsidRPr="005E2F6D" w:rsidRDefault="00C87382">
            <w:pPr>
              <w:spacing w:after="0" w:line="240" w:lineRule="auto"/>
              <w:rPr>
                <w:szCs w:val="24"/>
              </w:rPr>
            </w:pPr>
            <w:r w:rsidRPr="005E2F6D">
              <w:rPr>
                <w:b/>
                <w:color w:val="00A6A6"/>
                <w:szCs w:val="24"/>
              </w:rPr>
              <w:t>LABOR</w:t>
            </w:r>
            <w:r w:rsidRPr="005E2F6D">
              <w:rPr>
                <w:b/>
                <w:color w:val="00A6A6"/>
                <w:szCs w:val="24"/>
              </w:rPr>
              <w:br/>
            </w:r>
            <w:r w:rsidRPr="005E2F6D">
              <w:rPr>
                <w:color w:val="0B2B5B"/>
                <w:szCs w:val="24"/>
              </w:rPr>
              <w:t>Appleton Dock now has a working freight rail-to-port pathway for critical minerals. The Green Triangle plan also names priority corridors, bridge constraints and port access. Freight rail and connections both rise to Partial 2.6/4, but funding, timetables and targets remain incomplete.</w:t>
            </w:r>
          </w:p>
        </w:tc>
        <w:tc>
          <w:tcPr>
            <w:tcW w:w="745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BA5880" w14:textId="77777777" w:rsidR="00F12341" w:rsidRPr="005E2F6D" w:rsidRDefault="00C87382">
            <w:pPr>
              <w:spacing w:after="0" w:line="240" w:lineRule="auto"/>
              <w:rPr>
                <w:szCs w:val="24"/>
              </w:rPr>
            </w:pPr>
            <w:r w:rsidRPr="005E2F6D">
              <w:rPr>
                <w:b/>
                <w:color w:val="00A6A6"/>
                <w:szCs w:val="24"/>
              </w:rPr>
              <w:t>LIBERAL–NATIONALS</w:t>
            </w:r>
            <w:r w:rsidRPr="005E2F6D">
              <w:rPr>
                <w:b/>
                <w:color w:val="00A6A6"/>
                <w:szCs w:val="24"/>
              </w:rPr>
              <w:br/>
            </w:r>
            <w:r w:rsidRPr="005E2F6D">
              <w:rPr>
                <w:color w:val="0B2B5B"/>
                <w:szCs w:val="24"/>
              </w:rPr>
              <w:t>No new scorecard-changing commitment was identified. The roads offer remains substantial, but there is still no public freight rail plan, industry energy package or workforce pipeline.</w:t>
            </w:r>
          </w:p>
        </w:tc>
      </w:tr>
      <w:tr w:rsidR="005F32F1" w:rsidRPr="00C87382" w14:paraId="35036BB7" w14:textId="77777777" w:rsidTr="00C87382">
        <w:trPr>
          <w:cantSplit/>
          <w:trHeight w:val="20"/>
          <w:jc w:val="center"/>
        </w:trPr>
        <w:tc>
          <w:tcPr>
            <w:tcW w:w="7455" w:type="dxa"/>
            <w:shd w:val="clear" w:color="auto" w:fill="F2F4F7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7A08BE" w14:textId="77777777" w:rsidR="00F12341" w:rsidRPr="005E2F6D" w:rsidRDefault="00C87382">
            <w:pPr>
              <w:spacing w:after="0" w:line="240" w:lineRule="auto"/>
              <w:rPr>
                <w:szCs w:val="24"/>
              </w:rPr>
            </w:pPr>
            <w:r w:rsidRPr="005E2F6D">
              <w:rPr>
                <w:b/>
                <w:color w:val="00A6A6"/>
                <w:szCs w:val="24"/>
              </w:rPr>
              <w:t>VICTORIAN GREENS</w:t>
            </w:r>
            <w:r w:rsidRPr="005E2F6D">
              <w:rPr>
                <w:b/>
                <w:color w:val="00A6A6"/>
                <w:szCs w:val="24"/>
              </w:rPr>
              <w:br/>
            </w:r>
            <w:r w:rsidRPr="005E2F6D">
              <w:rPr>
                <w:color w:val="0B2B5B"/>
                <w:szCs w:val="24"/>
              </w:rPr>
              <w:t>The campaign launch did not add an ALC-specific commitment. Public positions are still missing across five priorities, with only limited alignment on industry energy transition.</w:t>
            </w:r>
          </w:p>
        </w:tc>
        <w:tc>
          <w:tcPr>
            <w:tcW w:w="7455" w:type="dxa"/>
            <w:shd w:val="clear" w:color="auto" w:fill="F2F4F7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AE47C0" w14:textId="77777777" w:rsidR="00F12341" w:rsidRPr="005E2F6D" w:rsidRDefault="00C87382">
            <w:pPr>
              <w:spacing w:after="0" w:line="240" w:lineRule="auto"/>
              <w:rPr>
                <w:szCs w:val="24"/>
              </w:rPr>
            </w:pPr>
            <w:r w:rsidRPr="005E2F6D">
              <w:rPr>
                <w:b/>
                <w:color w:val="00A6A6"/>
                <w:szCs w:val="24"/>
              </w:rPr>
              <w:t>ONE NATION</w:t>
            </w:r>
            <w:r w:rsidRPr="005E2F6D">
              <w:rPr>
                <w:b/>
                <w:color w:val="00A6A6"/>
                <w:szCs w:val="24"/>
              </w:rPr>
              <w:br/>
            </w:r>
            <w:r w:rsidRPr="005E2F6D">
              <w:rPr>
                <w:color w:val="0B2B5B"/>
                <w:szCs w:val="24"/>
              </w:rPr>
              <w:t xml:space="preserve">The baseline now records limited alignment on regional roads and freight rail. Planning policy is not aligned with ALC's </w:t>
            </w:r>
            <w:proofErr w:type="gramStart"/>
            <w:r w:rsidRPr="005E2F6D">
              <w:rPr>
                <w:color w:val="0B2B5B"/>
                <w:szCs w:val="24"/>
              </w:rPr>
              <w:t>ask</w:t>
            </w:r>
            <w:proofErr w:type="gramEnd"/>
            <w:r w:rsidRPr="005E2F6D">
              <w:rPr>
                <w:color w:val="0B2B5B"/>
                <w:szCs w:val="24"/>
              </w:rPr>
              <w:t>, while the energy platform conflicts with the industry's near-term transition needs.</w:t>
            </w:r>
          </w:p>
        </w:tc>
      </w:tr>
    </w:tbl>
    <w:p w14:paraId="5F481296" w14:textId="77777777" w:rsidR="005F32F1" w:rsidRDefault="00DE77B8">
      <w:r>
        <w:br w:type="page"/>
      </w:r>
    </w:p>
    <w:p w14:paraId="6AFDECCA" w14:textId="77777777" w:rsidR="005F32F1" w:rsidRPr="00DE77B8" w:rsidRDefault="00DE77B8">
      <w:pPr>
        <w:pStyle w:val="Heading1"/>
        <w:rPr>
          <w:sz w:val="32"/>
          <w:szCs w:val="32"/>
        </w:rPr>
      </w:pPr>
      <w:r w:rsidRPr="00DE77B8">
        <w:rPr>
          <w:rFonts w:ascii="Aptos" w:eastAsia="Aptos" w:hAnsi="Aptos"/>
          <w:sz w:val="32"/>
          <w:szCs w:val="32"/>
        </w:rPr>
        <w:lastRenderedPageBreak/>
        <w:t>Scorecard by priority</w:t>
      </w:r>
    </w:p>
    <w:p w14:paraId="2A71FB98" w14:textId="77777777" w:rsidR="005F32F1" w:rsidRDefault="00DE77B8">
      <w:pPr>
        <w:spacing w:after="100" w:line="240" w:lineRule="auto"/>
      </w:pPr>
      <w:r>
        <w:rPr>
          <w:color w:val="0B2B5B"/>
          <w:sz w:val="19"/>
        </w:rPr>
        <w:t>Scale: 0.0 no relevant alignment | 0.1-1.9 limited | 2.0-2.9 partial | 3.0-3.6 strong | 3.7-4.0 meets the ask. Direction distinguishes no position from conflict. Unconfirmed or withdrawn proposals are not scored.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82"/>
        <w:gridCol w:w="2750"/>
        <w:gridCol w:w="2750"/>
        <w:gridCol w:w="2750"/>
        <w:gridCol w:w="2750"/>
      </w:tblGrid>
      <w:tr w:rsidR="005F32F1" w:rsidRPr="00DE77B8" w14:paraId="13F9309D" w14:textId="77777777">
        <w:trPr>
          <w:tblHeader/>
          <w:jc w:val="center"/>
        </w:trPr>
        <w:tc>
          <w:tcPr>
            <w:tcW w:w="4082" w:type="dxa"/>
            <w:shd w:val="clear" w:color="auto" w:fill="13355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CDB395" w14:textId="77777777" w:rsidR="005F32F1" w:rsidRPr="00C87382" w:rsidRDefault="00DE77B8">
            <w:pPr>
              <w:spacing w:after="0"/>
              <w:rPr>
                <w:sz w:val="18"/>
                <w:szCs w:val="18"/>
              </w:rPr>
            </w:pPr>
            <w:r w:rsidRPr="00C87382">
              <w:rPr>
                <w:b/>
                <w:color w:val="FFFFFF"/>
                <w:sz w:val="18"/>
                <w:szCs w:val="18"/>
              </w:rPr>
              <w:t>ALC priority</w:t>
            </w:r>
          </w:p>
        </w:tc>
        <w:tc>
          <w:tcPr>
            <w:tcW w:w="2750" w:type="dxa"/>
            <w:shd w:val="clear" w:color="auto" w:fill="13355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6F5243" w14:textId="77777777" w:rsidR="005F32F1" w:rsidRPr="00C87382" w:rsidRDefault="00DE77B8">
            <w:pPr>
              <w:spacing w:after="0"/>
              <w:jc w:val="center"/>
              <w:rPr>
                <w:sz w:val="18"/>
                <w:szCs w:val="18"/>
              </w:rPr>
            </w:pPr>
            <w:r w:rsidRPr="00C87382">
              <w:rPr>
                <w:b/>
                <w:color w:val="FFFFFF"/>
                <w:sz w:val="18"/>
                <w:szCs w:val="18"/>
              </w:rPr>
              <w:t>Labor</w:t>
            </w:r>
          </w:p>
        </w:tc>
        <w:tc>
          <w:tcPr>
            <w:tcW w:w="2750" w:type="dxa"/>
            <w:shd w:val="clear" w:color="auto" w:fill="13355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B3CD59" w14:textId="77777777" w:rsidR="005F32F1" w:rsidRPr="00C87382" w:rsidRDefault="00DE77B8">
            <w:pPr>
              <w:spacing w:after="0"/>
              <w:jc w:val="center"/>
              <w:rPr>
                <w:sz w:val="18"/>
                <w:szCs w:val="18"/>
              </w:rPr>
            </w:pPr>
            <w:r w:rsidRPr="00C87382">
              <w:rPr>
                <w:b/>
                <w:color w:val="FFFFFF"/>
                <w:sz w:val="18"/>
                <w:szCs w:val="18"/>
              </w:rPr>
              <w:t>Liberal–Nationals</w:t>
            </w:r>
          </w:p>
        </w:tc>
        <w:tc>
          <w:tcPr>
            <w:tcW w:w="2750" w:type="dxa"/>
            <w:shd w:val="clear" w:color="auto" w:fill="13355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D9B6A9" w14:textId="77777777" w:rsidR="005F32F1" w:rsidRPr="00C87382" w:rsidRDefault="00DE77B8">
            <w:pPr>
              <w:spacing w:after="0"/>
              <w:jc w:val="center"/>
              <w:rPr>
                <w:sz w:val="18"/>
                <w:szCs w:val="18"/>
              </w:rPr>
            </w:pPr>
            <w:r w:rsidRPr="00C87382">
              <w:rPr>
                <w:b/>
                <w:color w:val="FFFFFF"/>
                <w:sz w:val="18"/>
                <w:szCs w:val="18"/>
              </w:rPr>
              <w:t>Victorian Greens</w:t>
            </w:r>
          </w:p>
        </w:tc>
        <w:tc>
          <w:tcPr>
            <w:tcW w:w="2750" w:type="dxa"/>
            <w:shd w:val="clear" w:color="auto" w:fill="13355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413774" w14:textId="77777777" w:rsidR="005F32F1" w:rsidRPr="00C87382" w:rsidRDefault="00DE77B8">
            <w:pPr>
              <w:spacing w:after="0"/>
              <w:jc w:val="center"/>
              <w:rPr>
                <w:sz w:val="18"/>
                <w:szCs w:val="18"/>
              </w:rPr>
            </w:pPr>
            <w:r w:rsidRPr="00C87382">
              <w:rPr>
                <w:b/>
                <w:color w:val="FFFFFF"/>
                <w:sz w:val="18"/>
                <w:szCs w:val="18"/>
              </w:rPr>
              <w:t>One Nation</w:t>
            </w:r>
          </w:p>
        </w:tc>
      </w:tr>
      <w:tr w:rsidR="005F32F1" w:rsidRPr="00DE77B8" w14:paraId="525889A1" w14:textId="77777777">
        <w:trPr>
          <w:cantSplit/>
          <w:jc w:val="center"/>
        </w:trPr>
        <w:tc>
          <w:tcPr>
            <w:tcW w:w="4082" w:type="dxa"/>
            <w:shd w:val="clear" w:color="auto" w:fill="F2F4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CAB7D9" w14:textId="77777777" w:rsidR="00F12341" w:rsidRPr="00C87382" w:rsidRDefault="00C87382">
            <w:pPr>
              <w:spacing w:after="0" w:line="250" w:lineRule="auto"/>
              <w:rPr>
                <w:sz w:val="18"/>
                <w:szCs w:val="18"/>
              </w:rPr>
            </w:pPr>
            <w:r w:rsidRPr="00C87382">
              <w:rPr>
                <w:b/>
                <w:color w:val="0B2B5B"/>
                <w:sz w:val="18"/>
                <w:szCs w:val="18"/>
              </w:rPr>
              <w:t>1 Roads critical to supply chain logistics and freight transport</w:t>
            </w:r>
          </w:p>
        </w:tc>
        <w:tc>
          <w:tcPr>
            <w:tcW w:w="2750" w:type="dxa"/>
            <w:shd w:val="clear" w:color="auto" w:fill="D9F0F1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FBDE3E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Strong 3.4/4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Funded roads and named projects. The Green Triangle plan identifies priority corridors and bridge constraints, but there is no protected Road Sustainability Fund or Principal Freight Network mechanism.</w:t>
            </w:r>
          </w:p>
        </w:tc>
        <w:tc>
          <w:tcPr>
            <w:tcW w:w="2750" w:type="dxa"/>
            <w:shd w:val="clear" w:color="auto" w:fill="D9F0F1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89C544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Strong 3.4/4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$5 billion for roads, $288 million for country roads and bridges, and $607 million for Thompsons Road. The funding source, delivery detail and a protected network mechanism remain unclear.</w:t>
            </w:r>
          </w:p>
        </w:tc>
        <w:tc>
          <w:tcPr>
            <w:tcW w:w="2750" w:type="dxa"/>
            <w:shd w:val="clear" w:color="auto" w:fill="D8E0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61AC40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No position 0.0/4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No public road commitment matching ALC's ask identified.</w:t>
            </w:r>
          </w:p>
        </w:tc>
        <w:tc>
          <w:tcPr>
            <w:tcW w:w="2750" w:type="dxa"/>
            <w:shd w:val="clear" w:color="auto" w:fill="D8E0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19F853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Limited 1.6/4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Ongoing regional road funding and road-by-road reporting are proposed, but there is no costing, corridor list or protected funding mechanism.</w:t>
            </w:r>
          </w:p>
        </w:tc>
      </w:tr>
      <w:tr w:rsidR="005F32F1" w:rsidRPr="00DE77B8" w14:paraId="2CEA0BC2" w14:textId="77777777">
        <w:trPr>
          <w:cantSplit/>
          <w:jc w:val="center"/>
        </w:trPr>
        <w:tc>
          <w:tcPr>
            <w:tcW w:w="4082" w:type="dxa"/>
            <w:shd w:val="clear" w:color="auto" w:fill="F2F4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A4BA89" w14:textId="77777777" w:rsidR="00F12341" w:rsidRPr="00C87382" w:rsidRDefault="00C87382">
            <w:pPr>
              <w:spacing w:after="0" w:line="250" w:lineRule="auto"/>
              <w:rPr>
                <w:sz w:val="18"/>
                <w:szCs w:val="18"/>
              </w:rPr>
            </w:pPr>
            <w:r w:rsidRPr="00C87382">
              <w:rPr>
                <w:b/>
                <w:color w:val="0B2B5B"/>
                <w:sz w:val="18"/>
                <w:szCs w:val="18"/>
              </w:rPr>
              <w:t>2 Make better use of freight rail</w:t>
            </w:r>
          </w:p>
        </w:tc>
        <w:tc>
          <w:tcPr>
            <w:tcW w:w="2750" w:type="dxa"/>
            <w:shd w:val="clear" w:color="auto" w:fill="FFF0B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94D377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Partial 2.6/4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$127 million for maintenance plus a delivered critical-minerals freight rail-to-port pathway. There is no four-year statewide utilisation plan or volume target.</w:t>
            </w:r>
          </w:p>
        </w:tc>
        <w:tc>
          <w:tcPr>
            <w:tcW w:w="2750" w:type="dxa"/>
            <w:shd w:val="clear" w:color="auto" w:fill="D8E0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8150D2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No position 0.0/4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No public freight rail commitment matching ALC's ask identified.</w:t>
            </w:r>
          </w:p>
        </w:tc>
        <w:tc>
          <w:tcPr>
            <w:tcW w:w="2750" w:type="dxa"/>
            <w:shd w:val="clear" w:color="auto" w:fill="D8E0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068B44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No position 0.0/4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No public freight rail commitment matching ALC's ask identified.</w:t>
            </w:r>
          </w:p>
        </w:tc>
        <w:tc>
          <w:tcPr>
            <w:tcW w:w="2750" w:type="dxa"/>
            <w:shd w:val="clear" w:color="auto" w:fill="D8E0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1976A9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Limited 1.0/4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Regional track duplication and Inland Rail support are stated, but there are no corridors, funding, timetable or utilisation targets.</w:t>
            </w:r>
          </w:p>
        </w:tc>
      </w:tr>
      <w:tr w:rsidR="005F32F1" w:rsidRPr="00DE77B8" w14:paraId="29D28C14" w14:textId="77777777">
        <w:trPr>
          <w:cantSplit/>
          <w:jc w:val="center"/>
        </w:trPr>
        <w:tc>
          <w:tcPr>
            <w:tcW w:w="4082" w:type="dxa"/>
            <w:shd w:val="clear" w:color="auto" w:fill="F2F4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D1ED91" w14:textId="77777777" w:rsidR="00F12341" w:rsidRPr="00C87382" w:rsidRDefault="00C87382">
            <w:pPr>
              <w:spacing w:after="0" w:line="250" w:lineRule="auto"/>
              <w:rPr>
                <w:sz w:val="18"/>
                <w:szCs w:val="18"/>
              </w:rPr>
            </w:pPr>
            <w:r w:rsidRPr="00C87382">
              <w:rPr>
                <w:b/>
                <w:color w:val="0B2B5B"/>
                <w:sz w:val="18"/>
                <w:szCs w:val="18"/>
              </w:rPr>
              <w:t>3 Connect ports, terminals and logistics precincts</w:t>
            </w:r>
          </w:p>
        </w:tc>
        <w:tc>
          <w:tcPr>
            <w:tcW w:w="2750" w:type="dxa"/>
            <w:shd w:val="clear" w:color="auto" w:fill="FFF0B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939037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Partial 2.6/4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The Appleton Dock pathway and Green Triangle port and corridor priorities strengthen alignment. There is no funded statewide program or common access measure.</w:t>
            </w:r>
          </w:p>
        </w:tc>
        <w:tc>
          <w:tcPr>
            <w:tcW w:w="2750" w:type="dxa"/>
            <w:shd w:val="clear" w:color="auto" w:fill="FFF0B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108531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Partial 2.0/4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$607 million for Thompsons Road would support an industrial precinct, but heavy-vehicle outcomes, timing and the funding source remain unclear.</w:t>
            </w:r>
          </w:p>
        </w:tc>
        <w:tc>
          <w:tcPr>
            <w:tcW w:w="2750" w:type="dxa"/>
            <w:shd w:val="clear" w:color="auto" w:fill="D8E0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D28257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No position 0.0/4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No public commitment on connections to ports, terminals or logistics precincts identified.</w:t>
            </w:r>
          </w:p>
        </w:tc>
        <w:tc>
          <w:tcPr>
            <w:tcW w:w="2750" w:type="dxa"/>
            <w:shd w:val="clear" w:color="auto" w:fill="D8E0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DF1FC5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No position 0.0/4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No public commitment on connections to ports, terminals or logistics precincts identified.</w:t>
            </w:r>
          </w:p>
        </w:tc>
      </w:tr>
      <w:tr w:rsidR="005F32F1" w:rsidRPr="00DE77B8" w14:paraId="5F39B65F" w14:textId="77777777">
        <w:trPr>
          <w:cantSplit/>
          <w:jc w:val="center"/>
        </w:trPr>
        <w:tc>
          <w:tcPr>
            <w:tcW w:w="4082" w:type="dxa"/>
            <w:shd w:val="clear" w:color="auto" w:fill="F2F4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54A7FF" w14:textId="77777777" w:rsidR="00F12341" w:rsidRPr="00C87382" w:rsidRDefault="00C87382">
            <w:pPr>
              <w:spacing w:after="0" w:line="250" w:lineRule="auto"/>
              <w:rPr>
                <w:sz w:val="18"/>
                <w:szCs w:val="18"/>
              </w:rPr>
            </w:pPr>
            <w:r w:rsidRPr="00C87382">
              <w:rPr>
                <w:b/>
                <w:color w:val="0B2B5B"/>
                <w:sz w:val="18"/>
                <w:szCs w:val="18"/>
              </w:rPr>
              <w:t>4 Plan housing alongside supply chain logistics and freight transport</w:t>
            </w:r>
          </w:p>
        </w:tc>
        <w:tc>
          <w:tcPr>
            <w:tcW w:w="2750" w:type="dxa"/>
            <w:shd w:val="clear" w:color="auto" w:fill="F3C5C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BD951E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Conflict 1.6/4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Greater Avalon protects logistics land, but there is no funded access package or explicit protection for 24/7 operations. Closing Infrastructure Victoria remains a conflict.</w:t>
            </w:r>
          </w:p>
        </w:tc>
        <w:tc>
          <w:tcPr>
            <w:tcW w:w="2750" w:type="dxa"/>
            <w:shd w:val="clear" w:color="auto" w:fill="F8D3A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0E4B36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Limited 1.2/4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General planning reform is stated, but there is no clear protection for industrial land, freight access, heavy-vehicle routes or established 24/7 operations.</w:t>
            </w:r>
          </w:p>
        </w:tc>
        <w:tc>
          <w:tcPr>
            <w:tcW w:w="2750" w:type="dxa"/>
            <w:shd w:val="clear" w:color="auto" w:fill="D8E0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6809A6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No position 0.0/4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No public commitment matching ALC's industrial land, access and 24/7 operations ask identified.</w:t>
            </w:r>
          </w:p>
        </w:tc>
        <w:tc>
          <w:tcPr>
            <w:tcW w:w="2750" w:type="dxa"/>
            <w:shd w:val="clear" w:color="auto" w:fill="D8E0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46CD2B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Not aligned 0.0/4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Public planning policy covers farmland, buffers and data centres, but not industrial land, freight access, heavy-vehicle routes or 24/7 operations.</w:t>
            </w:r>
          </w:p>
        </w:tc>
      </w:tr>
      <w:tr w:rsidR="005F32F1" w:rsidRPr="00DE77B8" w14:paraId="1E27FABC" w14:textId="77777777">
        <w:trPr>
          <w:cantSplit/>
          <w:jc w:val="center"/>
        </w:trPr>
        <w:tc>
          <w:tcPr>
            <w:tcW w:w="4082" w:type="dxa"/>
            <w:shd w:val="clear" w:color="auto" w:fill="F2F4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164CDA" w14:textId="77777777" w:rsidR="00F12341" w:rsidRPr="00C87382" w:rsidRDefault="00C87382">
            <w:pPr>
              <w:spacing w:after="0" w:line="250" w:lineRule="auto"/>
              <w:rPr>
                <w:sz w:val="18"/>
                <w:szCs w:val="18"/>
              </w:rPr>
            </w:pPr>
            <w:r w:rsidRPr="00C87382">
              <w:rPr>
                <w:b/>
                <w:color w:val="0B2B5B"/>
                <w:sz w:val="18"/>
                <w:szCs w:val="18"/>
              </w:rPr>
              <w:t>5 Secure energy supply and transition for supply chain logistics and freight transport</w:t>
            </w:r>
          </w:p>
        </w:tc>
        <w:tc>
          <w:tcPr>
            <w:tcW w:w="2750" w:type="dxa"/>
            <w:shd w:val="clear" w:color="auto" w:fill="F8D3A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8F2814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Limited 0.8/4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The Green Triangle plan identifies charging and refuelling gaps, but there is no funded industry package for charging, grid connections, lower-carbon fuels or resilience.</w:t>
            </w:r>
          </w:p>
        </w:tc>
        <w:tc>
          <w:tcPr>
            <w:tcW w:w="2750" w:type="dxa"/>
            <w:shd w:val="clear" w:color="auto" w:fill="D8E0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015BC9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No position 0.0/4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No public energy and transition package for supply chain logistics and freight transport identified.</w:t>
            </w:r>
          </w:p>
        </w:tc>
        <w:tc>
          <w:tcPr>
            <w:tcW w:w="2750" w:type="dxa"/>
            <w:shd w:val="clear" w:color="auto" w:fill="F8D3A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2B03AA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Limited 0.6/4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Broad clean-energy policies provide some alignment, but no industry-specific charging, grid, fuel or resilience package has been identified.</w:t>
            </w:r>
          </w:p>
        </w:tc>
        <w:tc>
          <w:tcPr>
            <w:tcW w:w="2750" w:type="dxa"/>
            <w:shd w:val="clear" w:color="auto" w:fill="F3C5C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385BD6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Conflict 0.0/4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The official platform opposes key transition settings and provides no near-term package for charging, grid connections, lower-carbon fuels or industry resilience.</w:t>
            </w:r>
          </w:p>
        </w:tc>
      </w:tr>
      <w:tr w:rsidR="005F32F1" w:rsidRPr="00DE77B8" w14:paraId="7E326161" w14:textId="77777777">
        <w:trPr>
          <w:cantSplit/>
          <w:jc w:val="center"/>
        </w:trPr>
        <w:tc>
          <w:tcPr>
            <w:tcW w:w="4082" w:type="dxa"/>
            <w:shd w:val="clear" w:color="auto" w:fill="F2F4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CAB78A" w14:textId="77777777" w:rsidR="00F12341" w:rsidRPr="00C87382" w:rsidRDefault="00C87382">
            <w:pPr>
              <w:spacing w:after="0" w:line="250" w:lineRule="auto"/>
              <w:rPr>
                <w:sz w:val="18"/>
                <w:szCs w:val="18"/>
              </w:rPr>
            </w:pPr>
            <w:r w:rsidRPr="00C87382">
              <w:rPr>
                <w:b/>
                <w:color w:val="0B2B5B"/>
                <w:sz w:val="18"/>
                <w:szCs w:val="18"/>
              </w:rPr>
              <w:lastRenderedPageBreak/>
              <w:t>6 Build the workforce pipeline</w:t>
            </w:r>
          </w:p>
        </w:tc>
        <w:tc>
          <w:tcPr>
            <w:tcW w:w="2750" w:type="dxa"/>
            <w:shd w:val="clear" w:color="auto" w:fill="F8D3A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F020A5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Limited 1.0/4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General skills and training activity is relevant, but there is no targeted supply-chain workforce pipeline with measurable outcomes.</w:t>
            </w:r>
          </w:p>
        </w:tc>
        <w:tc>
          <w:tcPr>
            <w:tcW w:w="2750" w:type="dxa"/>
            <w:shd w:val="clear" w:color="auto" w:fill="F8D3A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2128FE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Limited 0.8/4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General training commitments may assist, but no targeted supply-chain workforce pipeline or measurable industry outcomes have been identified.</w:t>
            </w:r>
          </w:p>
        </w:tc>
        <w:tc>
          <w:tcPr>
            <w:tcW w:w="2750" w:type="dxa"/>
            <w:shd w:val="clear" w:color="auto" w:fill="D8E0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2E63F3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No position 0.0/4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No public supply-chain workforce pipeline identified.</w:t>
            </w:r>
          </w:p>
        </w:tc>
        <w:tc>
          <w:tcPr>
            <w:tcW w:w="2750" w:type="dxa"/>
            <w:shd w:val="clear" w:color="auto" w:fill="D8E0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BD4CA6" w14:textId="77777777" w:rsidR="00F12341" w:rsidRPr="00C87382" w:rsidRDefault="00C87382">
            <w:pPr>
              <w:spacing w:after="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B2B5B"/>
                <w:sz w:val="18"/>
              </w:rPr>
              <w:t>No position 0.0/4</w:t>
            </w:r>
            <w:r>
              <w:rPr>
                <w:b/>
                <w:color w:val="0B2B5B"/>
                <w:sz w:val="18"/>
              </w:rPr>
              <w:br/>
            </w:r>
            <w:r>
              <w:rPr>
                <w:color w:val="0B2B5B"/>
                <w:sz w:val="18"/>
              </w:rPr>
              <w:t>No public supply-chain workforce pipeline identified.</w:t>
            </w:r>
          </w:p>
        </w:tc>
      </w:tr>
    </w:tbl>
    <w:p w14:paraId="6DCEC7B6" w14:textId="77777777" w:rsidR="005F32F1" w:rsidRDefault="005F32F1">
      <w:pPr>
        <w:spacing w:after="0" w:line="40" w:lineRule="exact"/>
      </w:pPr>
    </w:p>
    <w:p w14:paraId="30D08C86" w14:textId="77777777" w:rsidR="005C0B96" w:rsidRDefault="005C0B96">
      <w:pPr>
        <w:spacing w:after="0" w:line="40" w:lineRule="exact"/>
      </w:pPr>
    </w:p>
    <w:p w14:paraId="4BABD0D0" w14:textId="77777777" w:rsidR="005F32F1" w:rsidRDefault="00DE77B8">
      <w:r>
        <w:br w:type="page"/>
      </w:r>
    </w:p>
    <w:p w14:paraId="19769721" w14:textId="77777777" w:rsidR="005F32F1" w:rsidRDefault="00DE77B8">
      <w:pPr>
        <w:pStyle w:val="Heading1"/>
      </w:pPr>
      <w:r>
        <w:rPr>
          <w:rFonts w:ascii="Aptos" w:eastAsia="Aptos" w:hAnsi="Aptos"/>
        </w:rPr>
        <w:lastRenderedPageBreak/>
        <w:t>ALC Political Interpretation</w:t>
      </w:r>
    </w:p>
    <w:p w14:paraId="75907F1D" w14:textId="77777777" w:rsidR="005F32F1" w:rsidRDefault="005F32F1">
      <w:pPr>
        <w:spacing w:after="0" w:line="4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6"/>
        <w:gridCol w:w="6803"/>
      </w:tblGrid>
      <w:tr w:rsidR="00DE77B8" w:rsidRPr="00DE77B8" w14:paraId="41141246" w14:textId="77777777" w:rsidTr="00DE77B8">
        <w:trPr>
          <w:tblHeader/>
        </w:trPr>
        <w:tc>
          <w:tcPr>
            <w:tcW w:w="5216" w:type="dxa"/>
            <w:shd w:val="clear" w:color="auto" w:fill="13355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69693B" w14:textId="77777777" w:rsidR="00DE77B8" w:rsidRPr="005E2F6D" w:rsidRDefault="00DE77B8" w:rsidP="00DE77B8">
            <w:pPr>
              <w:spacing w:after="0"/>
              <w:rPr>
                <w:szCs w:val="24"/>
              </w:rPr>
            </w:pPr>
            <w:r w:rsidRPr="005E2F6D">
              <w:rPr>
                <w:b/>
                <w:color w:val="FFFFFF"/>
                <w:szCs w:val="24"/>
              </w:rPr>
              <w:t>Party</w:t>
            </w:r>
          </w:p>
        </w:tc>
        <w:tc>
          <w:tcPr>
            <w:tcW w:w="6803" w:type="dxa"/>
            <w:shd w:val="clear" w:color="auto" w:fill="13355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F6D347" w14:textId="77777777" w:rsidR="00DE77B8" w:rsidRPr="005E2F6D" w:rsidRDefault="00DE77B8" w:rsidP="00DE77B8">
            <w:pPr>
              <w:spacing w:after="0"/>
              <w:rPr>
                <w:szCs w:val="24"/>
              </w:rPr>
            </w:pPr>
            <w:r w:rsidRPr="005E2F6D">
              <w:rPr>
                <w:b/>
                <w:color w:val="FFFFFF"/>
                <w:szCs w:val="24"/>
              </w:rPr>
              <w:t>Political assessment</w:t>
            </w:r>
          </w:p>
        </w:tc>
      </w:tr>
      <w:tr w:rsidR="00DE77B8" w:rsidRPr="00DE77B8" w14:paraId="79ADC115" w14:textId="77777777" w:rsidTr="00DE77B8">
        <w:trPr>
          <w:cantSplit/>
        </w:trPr>
        <w:tc>
          <w:tcPr>
            <w:tcW w:w="521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0DEC35" w14:textId="77777777" w:rsidR="00F12341" w:rsidRPr="005E2F6D" w:rsidRDefault="00C87382">
            <w:pPr>
              <w:spacing w:after="0" w:line="250" w:lineRule="auto"/>
              <w:rPr>
                <w:szCs w:val="24"/>
              </w:rPr>
            </w:pPr>
            <w:r w:rsidRPr="005E2F6D">
              <w:rPr>
                <w:b/>
                <w:color w:val="0B2B5B"/>
                <w:szCs w:val="24"/>
              </w:rPr>
              <w:t>Labor</w:t>
            </w:r>
          </w:p>
        </w:tc>
        <w:tc>
          <w:tcPr>
            <w:tcW w:w="680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2B92DB" w14:textId="77777777" w:rsidR="00F12341" w:rsidRPr="005E2F6D" w:rsidRDefault="00C87382">
            <w:pPr>
              <w:spacing w:after="0" w:line="250" w:lineRule="auto"/>
              <w:rPr>
                <w:szCs w:val="24"/>
              </w:rPr>
            </w:pPr>
            <w:r w:rsidRPr="005E2F6D">
              <w:rPr>
                <w:color w:val="0B2B5B"/>
                <w:szCs w:val="24"/>
              </w:rPr>
              <w:t xml:space="preserve">Labor still has the broadest relevant body of policy and delivery. Appleton Dock is a tangible freight rail-to-port outcome, and the Green Triangle plan gives ALC a defined corridor agenda. The </w:t>
            </w:r>
            <w:proofErr w:type="gramStart"/>
            <w:r w:rsidRPr="005E2F6D">
              <w:rPr>
                <w:color w:val="0B2B5B"/>
                <w:szCs w:val="24"/>
              </w:rPr>
              <w:t>next-term</w:t>
            </w:r>
            <w:proofErr w:type="gramEnd"/>
            <w:r w:rsidRPr="005E2F6D">
              <w:rPr>
                <w:color w:val="0B2B5B"/>
                <w:szCs w:val="24"/>
              </w:rPr>
              <w:t xml:space="preserve"> offer is still fragmented. There is no protected Principal Freight Network mechanism, funded Green Triangle delivery program, statewide freight rail utilisation target or commitment to independent infrastructure advice.</w:t>
            </w:r>
          </w:p>
        </w:tc>
      </w:tr>
      <w:tr w:rsidR="00DE77B8" w:rsidRPr="00DE77B8" w14:paraId="39E215F7" w14:textId="77777777" w:rsidTr="00DE77B8">
        <w:trPr>
          <w:cantSplit/>
        </w:trPr>
        <w:tc>
          <w:tcPr>
            <w:tcW w:w="5216" w:type="dxa"/>
            <w:shd w:val="clear" w:color="auto" w:fill="F2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D5478E" w14:textId="77777777" w:rsidR="00F12341" w:rsidRPr="005E2F6D" w:rsidRDefault="00C87382">
            <w:pPr>
              <w:spacing w:after="0" w:line="250" w:lineRule="auto"/>
              <w:rPr>
                <w:szCs w:val="24"/>
              </w:rPr>
            </w:pPr>
            <w:r w:rsidRPr="005E2F6D">
              <w:rPr>
                <w:b/>
                <w:color w:val="0B2B5B"/>
                <w:szCs w:val="24"/>
              </w:rPr>
              <w:t>Liberal-Nationals</w:t>
            </w:r>
          </w:p>
        </w:tc>
        <w:tc>
          <w:tcPr>
            <w:tcW w:w="6803" w:type="dxa"/>
            <w:shd w:val="clear" w:color="auto" w:fill="F2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26CF0E" w14:textId="60BE89DC" w:rsidR="00F12341" w:rsidRPr="005E2F6D" w:rsidRDefault="00C87382">
            <w:pPr>
              <w:spacing w:after="0" w:line="250" w:lineRule="auto"/>
              <w:rPr>
                <w:szCs w:val="24"/>
              </w:rPr>
            </w:pPr>
            <w:r w:rsidRPr="005E2F6D">
              <w:rPr>
                <w:color w:val="0B2B5B"/>
                <w:szCs w:val="24"/>
              </w:rPr>
              <w:t xml:space="preserve">The roads offer remains substantial and easy to communicate. Its weakness is now sharper: no public freight rail plan, industry energy package or workforce pipeline, and limited delivery detail for precinct access. ALC </w:t>
            </w:r>
            <w:r w:rsidR="005E2F6D">
              <w:rPr>
                <w:color w:val="0B2B5B"/>
                <w:szCs w:val="24"/>
              </w:rPr>
              <w:t xml:space="preserve">will </w:t>
            </w:r>
            <w:r w:rsidRPr="005E2F6D">
              <w:rPr>
                <w:color w:val="0B2B5B"/>
                <w:szCs w:val="24"/>
              </w:rPr>
              <w:t>press for named supply-chain corridors, funding sources, milestones and positions on the remaining priorities.</w:t>
            </w:r>
          </w:p>
        </w:tc>
      </w:tr>
      <w:tr w:rsidR="00DE77B8" w:rsidRPr="00DE77B8" w14:paraId="4511660A" w14:textId="77777777" w:rsidTr="00DE77B8">
        <w:trPr>
          <w:cantSplit/>
        </w:trPr>
        <w:tc>
          <w:tcPr>
            <w:tcW w:w="521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718251" w14:textId="77777777" w:rsidR="00F12341" w:rsidRPr="005E2F6D" w:rsidRDefault="00C87382">
            <w:pPr>
              <w:spacing w:after="0" w:line="250" w:lineRule="auto"/>
              <w:rPr>
                <w:szCs w:val="24"/>
              </w:rPr>
            </w:pPr>
            <w:r w:rsidRPr="005E2F6D">
              <w:rPr>
                <w:b/>
                <w:color w:val="0B2B5B"/>
                <w:szCs w:val="24"/>
              </w:rPr>
              <w:t>Victorian Greens</w:t>
            </w:r>
          </w:p>
        </w:tc>
        <w:tc>
          <w:tcPr>
            <w:tcW w:w="680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A1323E" w14:textId="08BBB7E2" w:rsidR="00F12341" w:rsidRPr="005E2F6D" w:rsidRDefault="00C87382">
            <w:pPr>
              <w:spacing w:after="0" w:line="250" w:lineRule="auto"/>
              <w:rPr>
                <w:szCs w:val="24"/>
              </w:rPr>
            </w:pPr>
            <w:r w:rsidRPr="005E2F6D">
              <w:rPr>
                <w:color w:val="0B2B5B"/>
                <w:szCs w:val="24"/>
              </w:rPr>
              <w:t xml:space="preserve">The campaign has not yet produced commitments against ALC's core </w:t>
            </w:r>
            <w:proofErr w:type="gramStart"/>
            <w:r w:rsidRPr="005E2F6D">
              <w:rPr>
                <w:color w:val="0B2B5B"/>
                <w:szCs w:val="24"/>
              </w:rPr>
              <w:t>asks</w:t>
            </w:r>
            <w:proofErr w:type="gramEnd"/>
            <w:r w:rsidRPr="005E2F6D">
              <w:rPr>
                <w:color w:val="0B2B5B"/>
                <w:szCs w:val="24"/>
              </w:rPr>
              <w:t xml:space="preserve">. There are natural openings on freight rail, clean energy and planning protections, but public positions, funding and delivery measures remain absent. </w:t>
            </w:r>
          </w:p>
        </w:tc>
      </w:tr>
      <w:tr w:rsidR="00DE77B8" w:rsidRPr="00DE77B8" w14:paraId="39966B7E" w14:textId="77777777" w:rsidTr="00DE77B8">
        <w:trPr>
          <w:cantSplit/>
        </w:trPr>
        <w:tc>
          <w:tcPr>
            <w:tcW w:w="5216" w:type="dxa"/>
            <w:shd w:val="clear" w:color="auto" w:fill="F2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846E97" w14:textId="77777777" w:rsidR="00F12341" w:rsidRPr="005E2F6D" w:rsidRDefault="00C87382">
            <w:pPr>
              <w:spacing w:after="0" w:line="250" w:lineRule="auto"/>
              <w:rPr>
                <w:szCs w:val="24"/>
              </w:rPr>
            </w:pPr>
            <w:r w:rsidRPr="005E2F6D">
              <w:rPr>
                <w:b/>
                <w:color w:val="0B2B5B"/>
                <w:szCs w:val="24"/>
              </w:rPr>
              <w:t>One Nation</w:t>
            </w:r>
          </w:p>
        </w:tc>
        <w:tc>
          <w:tcPr>
            <w:tcW w:w="6803" w:type="dxa"/>
            <w:shd w:val="clear" w:color="auto" w:fill="F2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937258" w14:textId="248A0F5A" w:rsidR="00F12341" w:rsidRPr="005E2F6D" w:rsidRDefault="00C87382">
            <w:pPr>
              <w:spacing w:after="0" w:line="250" w:lineRule="auto"/>
              <w:rPr>
                <w:szCs w:val="24"/>
              </w:rPr>
            </w:pPr>
            <w:r w:rsidRPr="005E2F6D">
              <w:rPr>
                <w:color w:val="0B2B5B"/>
                <w:szCs w:val="24"/>
              </w:rPr>
              <w:t xml:space="preserve">Regional roads and freight rail provide openings, but the published positions are not costed or sequenced. Planning policy does not address industrial land, freight access or 24/7 operations, and the energy platform conflicts with ALC's near-term transition ask. </w:t>
            </w:r>
          </w:p>
        </w:tc>
      </w:tr>
    </w:tbl>
    <w:p w14:paraId="5AA68C3A" w14:textId="77777777" w:rsidR="005F32F1" w:rsidRPr="00DE77B8" w:rsidRDefault="005F32F1" w:rsidP="00DE77B8">
      <w:pPr>
        <w:spacing w:after="0" w:line="40" w:lineRule="exact"/>
        <w:rPr>
          <w:szCs w:val="24"/>
        </w:rPr>
      </w:pPr>
    </w:p>
    <w:p w14:paraId="425E638A" w14:textId="77777777" w:rsidR="001C29B3" w:rsidRPr="00DE77B8" w:rsidRDefault="001C29B3" w:rsidP="00DE77B8">
      <w:pPr>
        <w:rPr>
          <w:szCs w:val="24"/>
        </w:rPr>
      </w:pPr>
    </w:p>
    <w:sectPr w:rsidR="001C29B3" w:rsidRPr="00DE77B8" w:rsidSect="00034616">
      <w:headerReference w:type="default" r:id="rId12"/>
      <w:footerReference w:type="default" r:id="rId13"/>
      <w:pgSz w:w="16838" w:h="11906" w:orient="landscape"/>
      <w:pgMar w:top="709" w:right="765" w:bottom="652" w:left="765" w:header="255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AB010" w14:textId="77777777" w:rsidR="00C2081B" w:rsidRDefault="00C2081B">
      <w:pPr>
        <w:spacing w:after="0" w:line="240" w:lineRule="auto"/>
      </w:pPr>
      <w:r>
        <w:separator/>
      </w:r>
    </w:p>
  </w:endnote>
  <w:endnote w:type="continuationSeparator" w:id="0">
    <w:p w14:paraId="765C11A0" w14:textId="77777777" w:rsidR="00C2081B" w:rsidRDefault="00C20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20D1C" w14:textId="77777777" w:rsidR="005F32F1" w:rsidRDefault="00DE77B8">
    <w:pPr>
      <w:pStyle w:val="Footer"/>
      <w:jc w:val="right"/>
    </w:pPr>
    <w:r>
      <w:rPr>
        <w:color w:val="5C6B7A"/>
        <w:sz w:val="15"/>
      </w:rPr>
      <w:t xml:space="preserve">ALC Victorian election </w:t>
    </w:r>
    <w:proofErr w:type="gramStart"/>
    <w:r>
      <w:rPr>
        <w:color w:val="5C6B7A"/>
        <w:sz w:val="15"/>
      </w:rPr>
      <w:t>scorecard  |</w:t>
    </w:r>
    <w:proofErr w:type="gramEnd"/>
    <w:r>
      <w:rPr>
        <w:color w:val="5C6B7A"/>
        <w:sz w:val="15"/>
      </w:rPr>
      <w:t xml:space="preserve">  </w:t>
    </w:r>
    <w:r>
      <w:rPr>
        <w:color w:val="5C6B7A"/>
        <w:sz w:val="15"/>
      </w:rPr>
      <w:fldChar w:fldCharType="begin"/>
    </w:r>
    <w:r>
      <w:rPr>
        <w:color w:val="5C6B7A"/>
        <w:sz w:val="15"/>
      </w:rPr>
      <w:instrText xml:space="preserve"> PAGE </w:instrText>
    </w:r>
    <w:r>
      <w:rPr>
        <w:color w:val="5C6B7A"/>
        <w:sz w:val="15"/>
      </w:rPr>
      <w:fldChar w:fldCharType="separate"/>
    </w:r>
    <w:r w:rsidR="005C0B96">
      <w:rPr>
        <w:noProof/>
        <w:color w:val="5C6B7A"/>
        <w:sz w:val="15"/>
      </w:rPr>
      <w:t>1</w:t>
    </w:r>
    <w:r>
      <w:rPr>
        <w:color w:val="5C6B7A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83651" w14:textId="77777777" w:rsidR="00C2081B" w:rsidRDefault="00C2081B">
      <w:pPr>
        <w:spacing w:after="0" w:line="240" w:lineRule="auto"/>
      </w:pPr>
      <w:r>
        <w:separator/>
      </w:r>
    </w:p>
  </w:footnote>
  <w:footnote w:type="continuationSeparator" w:id="0">
    <w:p w14:paraId="5B0F9E0C" w14:textId="77777777" w:rsidR="00C2081B" w:rsidRDefault="00C20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5C1F4" w14:textId="77777777" w:rsidR="005F32F1" w:rsidRDefault="005F32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9600922">
    <w:abstractNumId w:val="8"/>
  </w:num>
  <w:num w:numId="2" w16cid:durableId="1119567357">
    <w:abstractNumId w:val="6"/>
  </w:num>
  <w:num w:numId="3" w16cid:durableId="1927760951">
    <w:abstractNumId w:val="5"/>
  </w:num>
  <w:num w:numId="4" w16cid:durableId="142162542">
    <w:abstractNumId w:val="4"/>
  </w:num>
  <w:num w:numId="5" w16cid:durableId="1192962607">
    <w:abstractNumId w:val="7"/>
  </w:num>
  <w:num w:numId="6" w16cid:durableId="38290158">
    <w:abstractNumId w:val="3"/>
  </w:num>
  <w:num w:numId="7" w16cid:durableId="1218854969">
    <w:abstractNumId w:val="2"/>
  </w:num>
  <w:num w:numId="8" w16cid:durableId="2137143248">
    <w:abstractNumId w:val="1"/>
  </w:num>
  <w:num w:numId="9" w16cid:durableId="91903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29B3"/>
    <w:rsid w:val="0029639D"/>
    <w:rsid w:val="00326F90"/>
    <w:rsid w:val="00340D26"/>
    <w:rsid w:val="00365321"/>
    <w:rsid w:val="0054459A"/>
    <w:rsid w:val="00591626"/>
    <w:rsid w:val="005C0B96"/>
    <w:rsid w:val="005E2F6D"/>
    <w:rsid w:val="005F32F1"/>
    <w:rsid w:val="00790556"/>
    <w:rsid w:val="007B44DB"/>
    <w:rsid w:val="00AA1D8D"/>
    <w:rsid w:val="00B47730"/>
    <w:rsid w:val="00C2081B"/>
    <w:rsid w:val="00C21481"/>
    <w:rsid w:val="00C87382"/>
    <w:rsid w:val="00CB0664"/>
    <w:rsid w:val="00CF2711"/>
    <w:rsid w:val="00DE77B8"/>
    <w:rsid w:val="00F123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01CF7F"/>
  <w14:defaultImageDpi w14:val="300"/>
  <w15:docId w15:val="{8332FC2A-7E87-4E63-B6B5-38E34FDB6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eastAsia="Aptos" w:hAnsi="Aptos"/>
      <w:color w:val="172B4D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0" w:after="140"/>
      <w:outlineLvl w:val="0"/>
    </w:pPr>
    <w:rPr>
      <w:rFonts w:asciiTheme="majorHAnsi" w:eastAsiaTheme="majorEastAsia" w:hAnsiTheme="majorHAnsi" w:cstheme="majorBidi"/>
      <w:b/>
      <w:bCs/>
      <w:color w:val="0B2354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3355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80" w:after="40"/>
      <w:outlineLvl w:val="2"/>
    </w:pPr>
    <w:rPr>
      <w:rFonts w:asciiTheme="majorHAnsi" w:eastAsiaTheme="majorEastAsia" w:hAnsiTheme="majorHAnsi" w:cstheme="majorBidi"/>
      <w:b/>
      <w:bCs/>
      <w:color w:val="08A4A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ptos" w:eastAsia="Aptos" w:hAnsi="Aptos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ptos" w:eastAsia="Aptos" w:hAnsi="Aptos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ptos" w:eastAsia="Aptos" w:hAnsi="Aptos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FFFFF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ptos" w:eastAsia="Aptos" w:hAnsi="Aptos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ptos" w:eastAsia="Aptos" w:hAnsi="Aptos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ptos" w:eastAsia="Aptos" w:hAnsi="Aptos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ptos" w:eastAsia="Aptos" w:hAnsi="Apto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ptos" w:eastAsia="Aptos" w:hAnsi="Apto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ptos" w:eastAsia="Aptos" w:hAnsi="Aptos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ptos" w:eastAsia="Aptos" w:hAnsi="Aptos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ptos" w:eastAsia="Aptos" w:hAnsi="Aptos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ptos" w:eastAsia="Aptos" w:hAnsi="Aptos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ptos" w:eastAsia="Aptos" w:hAnsi="Aptos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ptos" w:eastAsia="Aptos" w:hAnsi="Aptos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ptos" w:eastAsia="Aptos" w:hAnsi="Aptos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ptos" w:eastAsia="Aptos" w:hAnsi="Aptos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ptos" w:eastAsia="Aptos" w:hAnsi="Aptos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ptos" w:eastAsia="Aptos" w:hAnsi="Aptos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ptos" w:eastAsia="Aptos" w:hAnsi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ptos" w:eastAsia="Aptos" w:hAnsi="Aptos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ptos" w:eastAsia="Aptos" w:hAnsi="Aptos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ptos" w:eastAsia="Aptos" w:hAnsi="Aptos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ptos" w:eastAsia="Aptos" w:hAnsi="Aptos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ptos" w:eastAsia="Aptos" w:hAnsi="Aptos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ptos" w:eastAsia="Aptos" w:hAnsi="Aptos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ptos" w:eastAsia="Aptos" w:hAnsi="Aptos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ptos" w:eastAsia="Aptos" w:hAnsi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ptos" w:eastAsia="Aptos" w:hAnsi="Aptos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ptos" w:eastAsia="Aptos" w:hAnsi="Aptos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ptos" w:eastAsia="Aptos" w:hAnsi="Aptos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ptos" w:eastAsia="Aptos" w:hAnsi="Aptos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ptos" w:eastAsia="Aptos" w:hAnsi="Aptos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ptos" w:eastAsia="Aptos" w:hAnsi="Aptos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ptos" w:eastAsia="Aptos" w:hAnsi="Aptos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ptos" w:eastAsia="Aptos" w:hAnsi="Apto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40"/>
    </w:pPr>
    <w:rPr>
      <w:rFonts w:ascii="Aptos" w:eastAsia="Aptos" w:hAnsi="Aptos"/>
      <w:color w:val="5C6B7A"/>
      <w:sz w:val="15"/>
    </w:rPr>
  </w:style>
  <w:style w:type="paragraph" w:customStyle="1" w:styleId="Callout">
    <w:name w:val="Callout"/>
    <w:pPr>
      <w:spacing w:after="80"/>
    </w:pPr>
    <w:rPr>
      <w:rFonts w:ascii="Aptos" w:eastAsia="Aptos" w:hAnsi="Aptos"/>
      <w:b/>
      <w:color w:val="0B235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ptos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1605f7-6a5a-4202-a98a-1e4ead28adee">
      <Terms xmlns="http://schemas.microsoft.com/office/infopath/2007/PartnerControls"/>
    </lcf76f155ced4ddcb4097134ff3c332f>
    <TaxCatchAll xmlns="b88a0004-d860-40cb-b334-e562ba7b30f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08C8982B3594439B454BCBC97066C6" ma:contentTypeVersion="16" ma:contentTypeDescription="Create a new document." ma:contentTypeScope="" ma:versionID="293c03a492bb1f43ee1cf6fc8aae820d">
  <xsd:schema xmlns:xsd="http://www.w3.org/2001/XMLSchema" xmlns:xs="http://www.w3.org/2001/XMLSchema" xmlns:p="http://schemas.microsoft.com/office/2006/metadata/properties" xmlns:ns2="311605f7-6a5a-4202-a98a-1e4ead28adee" xmlns:ns3="b88a0004-d860-40cb-b334-e562ba7b30fa" targetNamespace="http://schemas.microsoft.com/office/2006/metadata/properties" ma:root="true" ma:fieldsID="815cdc852a4b1302c0c9f1a95beb5530" ns2:_="" ns3:_="">
    <xsd:import namespace="311605f7-6a5a-4202-a98a-1e4ead28adee"/>
    <xsd:import namespace="b88a0004-d860-40cb-b334-e562ba7b30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605f7-6a5a-4202-a98a-1e4ead28ad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72439b6-c0df-4ca8-958e-f65a069b32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a0004-d860-40cb-b334-e562ba7b30f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4cb5066-b3a3-4f99-b795-6054e3612ba7}" ma:internalName="TaxCatchAll" ma:showField="CatchAllData" ma:web="b88a0004-d860-40cb-b334-e562ba7b30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F1E60C-F2B1-4257-A614-AE75847DAE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F4B875-474B-42AE-A71D-99047595A1CB}">
  <ds:schemaRefs>
    <ds:schemaRef ds:uri="http://schemas.microsoft.com/office/2006/metadata/properties"/>
    <ds:schemaRef ds:uri="http://schemas.microsoft.com/office/infopath/2007/PartnerControls"/>
    <ds:schemaRef ds:uri="311605f7-6a5a-4202-a98a-1e4ead28adee"/>
    <ds:schemaRef ds:uri="b88a0004-d860-40cb-b334-e562ba7b30fa"/>
  </ds:schemaRefs>
</ds:datastoreItem>
</file>

<file path=customXml/itemProps4.xml><?xml version="1.0" encoding="utf-8"?>
<ds:datastoreItem xmlns:ds="http://schemas.openxmlformats.org/officeDocument/2006/customXml" ds:itemID="{CF457D4E-549E-491E-8491-5A854D10FF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1605f7-6a5a-4202-a98a-1e4ead28adee"/>
    <ds:schemaRef ds:uri="b88a0004-d860-40cb-b334-e562ba7b30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ALC Victorian election scorecard 28 September 2026</dc:title>
  <dc:subject>Victorian election commitments assessed against ALC's six priorities</dc:subject>
  <dc:creator>Australian Logistics Council</dc:creator>
  <cp:keywords/>
  <dc:description>generated by python-docx</dc:description>
  <cp:lastModifiedBy>Samantha Leighton</cp:lastModifiedBy>
  <cp:revision>2</cp:revision>
  <dcterms:created xsi:type="dcterms:W3CDTF">2026-10-12T00:45:00Z</dcterms:created>
  <dcterms:modified xsi:type="dcterms:W3CDTF">2026-10-12T00:45:00Z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feeb1f88-6dae-43f5-94ca-df6484eb80ea</vt:lpwstr>
  </property>
  <property fmtid="{D5CDD505-2E9C-101B-9397-08002B2CF9AE}" pid="3" name="ContentTypeId">
    <vt:lpwstr>0x0101006B08C8982B3594439B454BCBC97066C6</vt:lpwstr>
  </property>
</Properties>
</file>